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sz w:val="32"/>
          <w:szCs w:val="32"/>
        </w:rPr>
      </w:pPr>
      <w:r>
        <w:rPr>
          <w:rFonts w:hint="eastAsia"/>
          <w:sz w:val="32"/>
          <w:szCs w:val="32"/>
        </w:rPr>
        <w:t>济源市人民医院应急物资储备楼基坑监测项目</w:t>
      </w:r>
    </w:p>
    <w:p>
      <w:pPr>
        <w:ind w:firstLine="640" w:firstLineChars="200"/>
        <w:rPr>
          <w:rFonts w:hint="eastAsia"/>
          <w:sz w:val="32"/>
          <w:szCs w:val="32"/>
        </w:rPr>
      </w:pPr>
    </w:p>
    <w:p>
      <w:pPr>
        <w:ind w:firstLine="640" w:firstLineChars="200"/>
        <w:rPr>
          <w:rFonts w:hint="eastAsia"/>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482" w:firstLineChars="200"/>
        <w:jc w:val="left"/>
        <w:textAlignment w:val="auto"/>
        <w:outlineLvl w:val="1"/>
        <w:rPr>
          <w:rFonts w:hint="eastAsia" w:ascii="宋体" w:hAnsi="宋体" w:eastAsia="宋体" w:cs="宋体"/>
          <w:b/>
          <w:bCs/>
          <w:sz w:val="24"/>
          <w:szCs w:val="24"/>
          <w:highlight w:val="yellow"/>
        </w:rPr>
      </w:pPr>
      <w:bookmarkStart w:id="0" w:name="_Toc464744961"/>
      <w:bookmarkStart w:id="1" w:name="_Toc430764982"/>
      <w:bookmarkStart w:id="2" w:name="_Toc430702953"/>
      <w:bookmarkStart w:id="3" w:name="_Toc443404665"/>
      <w:bookmarkStart w:id="4" w:name="_Toc443547131"/>
      <w:r>
        <w:rPr>
          <w:rFonts w:hint="eastAsia" w:ascii="宋体" w:hAnsi="宋体" w:eastAsia="宋体" w:cs="宋体"/>
          <w:b/>
          <w:bCs/>
          <w:sz w:val="24"/>
          <w:szCs w:val="24"/>
          <w:highlight w:val="none"/>
        </w:rPr>
        <w:t>一</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项目概况</w:t>
      </w:r>
    </w:p>
    <w:p>
      <w:pPr>
        <w:keepNext w:val="0"/>
        <w:keepLines w:val="0"/>
        <w:pageBreakBefore w:val="0"/>
        <w:widowControl/>
        <w:kinsoku/>
        <w:wordWrap/>
        <w:overflowPunct/>
        <w:topLinePunct w:val="0"/>
        <w:autoSpaceDE/>
        <w:autoSpaceDN/>
        <w:bidi w:val="0"/>
        <w:adjustRightInd/>
        <w:snapToGrid/>
        <w:spacing w:line="360" w:lineRule="auto"/>
        <w:ind w:right="0"/>
        <w:jc w:val="left"/>
        <w:textAlignment w:val="auto"/>
        <w:outlineLvl w:val="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1.项目名称：</w:t>
      </w:r>
      <w:r>
        <w:rPr>
          <w:rFonts w:hint="eastAsia"/>
          <w:sz w:val="24"/>
          <w:szCs w:val="24"/>
        </w:rPr>
        <w:t>济源市人民医院应急物资储备楼基坑监测项目</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b w:val="0"/>
          <w:bCs w:val="0"/>
          <w:sz w:val="24"/>
          <w:szCs w:val="24"/>
          <w:highlight w:val="none"/>
          <w:lang w:val="en-US" w:eastAsia="zh-CN"/>
        </w:rPr>
        <w:t>2.本次采购预算为：</w:t>
      </w:r>
      <w:r>
        <w:rPr>
          <w:rFonts w:hint="eastAsia" w:ascii="宋体" w:hAnsi="宋体" w:eastAsia="宋体" w:cs="宋体"/>
          <w:b w:val="0"/>
          <w:bCs w:val="0"/>
          <w:sz w:val="24"/>
          <w:szCs w:val="24"/>
          <w:highlight w:val="none"/>
          <w:u w:val="single"/>
          <w:lang w:val="en-US" w:eastAsia="zh-CN"/>
        </w:rPr>
        <w:t xml:space="preserve">  175000</w:t>
      </w:r>
      <w:bookmarkStart w:id="5" w:name="_GoBack"/>
      <w:bookmarkEnd w:id="5"/>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lang w:val="en-US" w:eastAsia="zh-CN"/>
        </w:rPr>
        <w:t>元，包括为完成本项工作所需的现场基坑监测、现场办公、生活设施、劳务费、施工费、技术服务费、材料费、机械费、设备费、运杂费、交通、通讯、保险、税费和利润等以及合同包含的所有风险、责任及政策性文件规定等完成本项目所有工作的费用。</w:t>
      </w:r>
      <w:r>
        <w:rPr>
          <w:rFonts w:hint="eastAsia" w:ascii="宋体" w:hAnsi="宋体" w:eastAsia="宋体" w:cs="宋体"/>
          <w:b/>
          <w:bCs/>
          <w:sz w:val="24"/>
          <w:szCs w:val="24"/>
          <w:highlight w:val="none"/>
          <w:lang w:val="en-US" w:eastAsia="zh-CN"/>
        </w:rPr>
        <w:t>响应报价高于采购预算的响应文件，按无效响应处理。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color w:val="000000"/>
          <w:spacing w:val="0"/>
          <w:w w:val="100"/>
          <w:kern w:val="2"/>
          <w:position w:val="0"/>
          <w:sz w:val="24"/>
          <w:szCs w:val="24"/>
          <w:highlight w:val="none"/>
          <w:u w:val="none"/>
          <w:shd w:val="clear" w:color="auto" w:fill="auto"/>
          <w:lang w:val="en-US" w:eastAsia="zh-CN" w:bidi="zh-TW"/>
        </w:rPr>
        <w:t>3.工期（合同履行期限）：工程开工至基坑全部回填完成并验收合格</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spacing w:val="0"/>
          <w:w w:val="100"/>
          <w:kern w:val="2"/>
          <w:position w:val="0"/>
          <w:sz w:val="24"/>
          <w:szCs w:val="24"/>
          <w:highlight w:val="yellow"/>
          <w:u w:val="none"/>
          <w:shd w:val="clear" w:color="auto" w:fill="auto"/>
          <w:lang w:val="en-US" w:eastAsia="zh-CN" w:bidi="zh-TW"/>
        </w:rPr>
      </w:pPr>
      <w:r>
        <w:rPr>
          <w:rFonts w:hint="eastAsia" w:ascii="宋体" w:hAnsi="宋体" w:eastAsia="宋体" w:cs="宋体"/>
          <w:color w:val="000000"/>
          <w:spacing w:val="0"/>
          <w:w w:val="100"/>
          <w:kern w:val="2"/>
          <w:position w:val="0"/>
          <w:sz w:val="24"/>
          <w:szCs w:val="24"/>
          <w:highlight w:val="none"/>
          <w:u w:val="none"/>
          <w:shd w:val="clear" w:color="auto" w:fill="auto"/>
          <w:lang w:val="en-US" w:eastAsia="zh-CN" w:bidi="zh-TW"/>
        </w:rPr>
        <w:t>4.质量要求：</w:t>
      </w:r>
      <w:r>
        <w:rPr>
          <w:rFonts w:hint="eastAsia" w:ascii="宋体" w:hAnsi="宋体" w:eastAsia="宋体" w:cs="宋体"/>
          <w:b w:val="0"/>
          <w:bCs w:val="0"/>
          <w:sz w:val="24"/>
          <w:szCs w:val="24"/>
          <w:highlight w:val="none"/>
          <w:lang w:val="en-US" w:eastAsia="zh-CN"/>
        </w:rPr>
        <w:t>符合国家、行业及地方相关规范标准</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2" w:firstLineChars="200"/>
        <w:jc w:val="left"/>
        <w:textAlignment w:val="auto"/>
        <w:outlineLvl w:val="1"/>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二、项目要求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jc w:val="left"/>
        <w:textAlignment w:val="auto"/>
        <w:outlineLvl w:val="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1、供应商参考</w:t>
      </w:r>
      <w:r>
        <w:rPr>
          <w:rFonts w:hint="eastAsia"/>
          <w:sz w:val="24"/>
          <w:szCs w:val="24"/>
        </w:rPr>
        <w:t>济源市人民医院应急物资储备楼</w:t>
      </w:r>
      <w:r>
        <w:rPr>
          <w:rFonts w:hint="eastAsia" w:ascii="宋体" w:hAnsi="宋体" w:eastAsia="宋体" w:cs="宋体"/>
          <w:b w:val="0"/>
          <w:bCs w:val="0"/>
          <w:sz w:val="24"/>
          <w:szCs w:val="24"/>
          <w:highlight w:val="none"/>
          <w:lang w:val="en-US" w:eastAsia="zh-CN"/>
        </w:rPr>
        <w:t>基坑支护及降水工程设计方案图纸，依据国家、行业及地方相关规范、标准和要求，结合工程实际情况和企业自身因素进行综合报价，如因特殊情况需要增加监测频率及监测点数不再另行增加费用。</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jc w:val="left"/>
        <w:textAlignment w:val="auto"/>
        <w:outlineLvl w:val="1"/>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r>
        <w:rPr>
          <w:rFonts w:hint="default" w:ascii="宋体" w:hAnsi="宋体" w:eastAsia="宋体" w:cs="宋体"/>
          <w:b w:val="0"/>
          <w:bCs w:val="0"/>
          <w:sz w:val="24"/>
          <w:szCs w:val="24"/>
          <w:highlight w:val="none"/>
          <w:lang w:val="en-US" w:eastAsia="zh-CN"/>
        </w:rPr>
        <w:t>严格按照采购人要求为</w:t>
      </w:r>
      <w:r>
        <w:rPr>
          <w:rFonts w:hint="eastAsia" w:ascii="宋体" w:hAnsi="宋体" w:eastAsia="宋体" w:cs="宋体"/>
          <w:b w:val="0"/>
          <w:bCs w:val="0"/>
          <w:sz w:val="24"/>
          <w:szCs w:val="24"/>
          <w:highlight w:val="none"/>
          <w:lang w:val="en-US" w:eastAsia="zh-CN"/>
        </w:rPr>
        <w:t>项目</w:t>
      </w:r>
      <w:r>
        <w:rPr>
          <w:rFonts w:hint="default" w:ascii="宋体" w:hAnsi="宋体" w:eastAsia="宋体" w:cs="宋体"/>
          <w:b w:val="0"/>
          <w:bCs w:val="0"/>
          <w:sz w:val="24"/>
          <w:szCs w:val="24"/>
          <w:highlight w:val="none"/>
          <w:lang w:val="en-US" w:eastAsia="zh-CN"/>
        </w:rPr>
        <w:t>提供准确、科学和公正的</w:t>
      </w:r>
      <w:r>
        <w:rPr>
          <w:rFonts w:hint="eastAsia" w:ascii="宋体" w:hAnsi="宋体" w:eastAsia="宋体" w:cs="宋体"/>
          <w:b w:val="0"/>
          <w:bCs w:val="0"/>
          <w:sz w:val="24"/>
          <w:szCs w:val="24"/>
          <w:highlight w:val="none"/>
          <w:lang w:val="en-US" w:eastAsia="zh-CN"/>
        </w:rPr>
        <w:t>监测</w:t>
      </w:r>
      <w:r>
        <w:rPr>
          <w:rFonts w:hint="default" w:ascii="宋体" w:hAnsi="宋体" w:eastAsia="宋体" w:cs="宋体"/>
          <w:b w:val="0"/>
          <w:bCs w:val="0"/>
          <w:sz w:val="24"/>
          <w:szCs w:val="24"/>
          <w:highlight w:val="none"/>
          <w:lang w:val="en-US" w:eastAsia="zh-CN"/>
        </w:rPr>
        <w:t>服务</w:t>
      </w:r>
      <w:r>
        <w:rPr>
          <w:rFonts w:hint="eastAsia" w:ascii="宋体" w:hAnsi="宋体" w:eastAsia="宋体" w:cs="宋体"/>
          <w:b w:val="0"/>
          <w:bCs w:val="0"/>
          <w:sz w:val="24"/>
          <w:szCs w:val="24"/>
          <w:highlight w:val="none"/>
          <w:lang w:val="en-US" w:eastAsia="zh-CN"/>
        </w:rPr>
        <w:t>。</w:t>
      </w:r>
      <w:r>
        <w:rPr>
          <w:rFonts w:hint="default" w:ascii="宋体" w:hAnsi="宋体" w:eastAsia="宋体" w:cs="宋体"/>
          <w:b w:val="0"/>
          <w:bCs w:val="0"/>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jc w:val="left"/>
        <w:textAlignment w:val="auto"/>
        <w:outlineLvl w:val="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w:t>
      </w:r>
      <w:r>
        <w:rPr>
          <w:rFonts w:hint="default"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lang w:eastAsia="zh-CN"/>
        </w:rPr>
        <w:t>成交供应商</w:t>
      </w:r>
      <w:r>
        <w:rPr>
          <w:rFonts w:hint="default" w:ascii="宋体" w:hAnsi="宋体" w:eastAsia="宋体" w:cs="宋体"/>
          <w:b w:val="0"/>
          <w:bCs w:val="0"/>
          <w:sz w:val="24"/>
          <w:szCs w:val="24"/>
          <w:highlight w:val="none"/>
          <w:lang w:val="en-US" w:eastAsia="zh-CN"/>
        </w:rPr>
        <w:t>参照采购人提供的图纸并结合实际情况，按照有关</w:t>
      </w:r>
      <w:r>
        <w:rPr>
          <w:rFonts w:hint="eastAsia" w:ascii="宋体" w:hAnsi="宋体" w:eastAsia="宋体" w:cs="宋体"/>
          <w:b w:val="0"/>
          <w:bCs w:val="0"/>
          <w:sz w:val="24"/>
          <w:szCs w:val="24"/>
          <w:highlight w:val="none"/>
          <w:lang w:val="en-US" w:eastAsia="zh-CN"/>
        </w:rPr>
        <w:t>基坑监测</w:t>
      </w:r>
      <w:r>
        <w:rPr>
          <w:rFonts w:hint="default" w:ascii="宋体" w:hAnsi="宋体" w:eastAsia="宋体" w:cs="宋体"/>
          <w:b w:val="0"/>
          <w:bCs w:val="0"/>
          <w:sz w:val="24"/>
          <w:szCs w:val="24"/>
          <w:highlight w:val="none"/>
          <w:lang w:val="en-US" w:eastAsia="zh-CN"/>
        </w:rPr>
        <w:t>工作的规范、规程、标准要求进行现场</w:t>
      </w:r>
      <w:r>
        <w:rPr>
          <w:rFonts w:hint="eastAsia" w:ascii="宋体" w:hAnsi="宋体" w:eastAsia="宋体" w:cs="宋体"/>
          <w:b w:val="0"/>
          <w:bCs w:val="0"/>
          <w:sz w:val="24"/>
          <w:szCs w:val="24"/>
          <w:highlight w:val="none"/>
          <w:lang w:val="en-US" w:eastAsia="zh-CN"/>
        </w:rPr>
        <w:t>监测</w:t>
      </w:r>
      <w:r>
        <w:rPr>
          <w:rFonts w:hint="default" w:ascii="宋体" w:hAnsi="宋体" w:eastAsia="宋体" w:cs="宋体"/>
          <w:b w:val="0"/>
          <w:bCs w:val="0"/>
          <w:sz w:val="24"/>
          <w:szCs w:val="24"/>
          <w:highlight w:val="none"/>
          <w:lang w:val="en-US" w:eastAsia="zh-CN"/>
        </w:rPr>
        <w:t>工作，确保</w:t>
      </w:r>
      <w:r>
        <w:rPr>
          <w:rFonts w:hint="eastAsia" w:ascii="宋体" w:hAnsi="宋体" w:eastAsia="宋体" w:cs="宋体"/>
          <w:b w:val="0"/>
          <w:bCs w:val="0"/>
          <w:sz w:val="24"/>
          <w:szCs w:val="24"/>
          <w:highlight w:val="none"/>
          <w:lang w:val="en-US" w:eastAsia="zh-CN"/>
        </w:rPr>
        <w:t>监测</w:t>
      </w:r>
      <w:r>
        <w:rPr>
          <w:rFonts w:hint="default" w:ascii="宋体" w:hAnsi="宋体" w:eastAsia="宋体" w:cs="宋体"/>
          <w:b w:val="0"/>
          <w:bCs w:val="0"/>
          <w:sz w:val="24"/>
          <w:szCs w:val="24"/>
          <w:highlight w:val="none"/>
          <w:lang w:val="en-US" w:eastAsia="zh-CN"/>
        </w:rPr>
        <w:t>安全以及成果质量，并对</w:t>
      </w:r>
      <w:r>
        <w:rPr>
          <w:rFonts w:hint="eastAsia" w:ascii="宋体" w:hAnsi="宋体" w:eastAsia="宋体" w:cs="宋体"/>
          <w:b w:val="0"/>
          <w:bCs w:val="0"/>
          <w:sz w:val="24"/>
          <w:szCs w:val="24"/>
          <w:highlight w:val="none"/>
          <w:lang w:val="en-US" w:eastAsia="zh-CN"/>
        </w:rPr>
        <w:t>监测</w:t>
      </w:r>
      <w:r>
        <w:rPr>
          <w:rFonts w:hint="default" w:ascii="宋体" w:hAnsi="宋体" w:eastAsia="宋体" w:cs="宋体"/>
          <w:b w:val="0"/>
          <w:bCs w:val="0"/>
          <w:sz w:val="24"/>
          <w:szCs w:val="24"/>
          <w:highlight w:val="none"/>
          <w:lang w:val="en-US" w:eastAsia="zh-CN"/>
        </w:rPr>
        <w:t>结果负责</w:t>
      </w:r>
      <w:r>
        <w:rPr>
          <w:rFonts w:hint="eastAsia" w:ascii="宋体" w:hAnsi="宋体" w:eastAsia="宋体" w:cs="宋体"/>
          <w:b w:val="0"/>
          <w:bCs w:val="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jc w:val="both"/>
        <w:textAlignment w:val="auto"/>
        <w:outlineLvl w:val="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w:t>
      </w:r>
      <w:r>
        <w:rPr>
          <w:rFonts w:hint="default"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lang w:val="en-US" w:eastAsia="zh-CN"/>
        </w:rPr>
        <w:t>监测质量要求符合国家、行业及地方相关规范标准等要求。</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jc w:val="both"/>
        <w:textAlignment w:val="auto"/>
        <w:outlineLvl w:val="1"/>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w:t>
      </w:r>
      <w:r>
        <w:rPr>
          <w:rFonts w:hint="default" w:ascii="宋体" w:hAnsi="宋体" w:eastAsia="宋体" w:cs="宋体"/>
          <w:b w:val="0"/>
          <w:bCs w:val="0"/>
          <w:sz w:val="24"/>
          <w:szCs w:val="24"/>
          <w:highlight w:val="none"/>
          <w:lang w:val="en-US" w:eastAsia="zh-CN"/>
        </w:rPr>
        <w:t>按采购人规定时间内完成</w:t>
      </w:r>
      <w:r>
        <w:rPr>
          <w:rFonts w:hint="eastAsia" w:ascii="宋体" w:hAnsi="宋体" w:eastAsia="宋体" w:cs="宋体"/>
          <w:b w:val="0"/>
          <w:bCs w:val="0"/>
          <w:sz w:val="24"/>
          <w:szCs w:val="24"/>
          <w:highlight w:val="none"/>
          <w:lang w:val="en-US" w:eastAsia="zh-CN"/>
        </w:rPr>
        <w:t>监测并</w:t>
      </w:r>
      <w:r>
        <w:rPr>
          <w:rFonts w:hint="default" w:ascii="宋体" w:hAnsi="宋体" w:eastAsia="宋体" w:cs="宋体"/>
          <w:b w:val="0"/>
          <w:bCs w:val="0"/>
          <w:sz w:val="24"/>
          <w:szCs w:val="24"/>
          <w:highlight w:val="none"/>
          <w:lang w:val="en-US" w:eastAsia="zh-CN"/>
        </w:rPr>
        <w:t>提交</w:t>
      </w:r>
      <w:r>
        <w:rPr>
          <w:rFonts w:hint="eastAsia" w:ascii="宋体" w:hAnsi="宋体" w:eastAsia="宋体" w:cs="宋体"/>
          <w:b w:val="0"/>
          <w:bCs w:val="0"/>
          <w:sz w:val="24"/>
          <w:szCs w:val="24"/>
          <w:highlight w:val="none"/>
          <w:lang w:val="en-US" w:eastAsia="zh-CN"/>
        </w:rPr>
        <w:t>监测</w:t>
      </w:r>
      <w:r>
        <w:rPr>
          <w:rFonts w:hint="default" w:ascii="宋体" w:hAnsi="宋体" w:eastAsia="宋体" w:cs="宋体"/>
          <w:b w:val="0"/>
          <w:bCs w:val="0"/>
          <w:sz w:val="24"/>
          <w:szCs w:val="24"/>
          <w:highlight w:val="none"/>
          <w:lang w:val="en-US" w:eastAsia="zh-CN"/>
        </w:rPr>
        <w:t>报告，</w:t>
      </w:r>
      <w:r>
        <w:rPr>
          <w:rFonts w:hint="eastAsia" w:ascii="宋体" w:hAnsi="宋体" w:eastAsia="宋体" w:cs="宋体"/>
          <w:b w:val="0"/>
          <w:bCs w:val="0"/>
          <w:sz w:val="24"/>
          <w:szCs w:val="24"/>
          <w:highlight w:val="none"/>
          <w:lang w:val="en-US" w:eastAsia="zh-CN"/>
        </w:rPr>
        <w:t>出具的监测报告内容满足相关法律规范、规定及济源产城融合示范区建设工程安全监督站相关要求，保证出具的书面报告真实、合法、有效并对监测报告结果负责。</w:t>
      </w:r>
      <w:r>
        <w:rPr>
          <w:rFonts w:hint="default" w:ascii="宋体" w:hAnsi="宋体" w:eastAsia="宋体" w:cs="宋体"/>
          <w:b w:val="0"/>
          <w:bCs w:val="0"/>
          <w:sz w:val="24"/>
          <w:szCs w:val="24"/>
          <w:highlight w:val="none"/>
          <w:lang w:val="en-US" w:eastAsia="zh-CN"/>
        </w:rPr>
        <w:t xml:space="preserve"> </w:t>
      </w:r>
    </w:p>
    <w:bookmarkEnd w:id="0"/>
    <w:bookmarkEnd w:id="1"/>
    <w:bookmarkEnd w:id="2"/>
    <w:bookmarkEnd w:id="3"/>
    <w:bookmarkEnd w:id="4"/>
    <w:p>
      <w:pPr>
        <w:keepNext w:val="0"/>
        <w:keepLines w:val="0"/>
        <w:pageBreakBefore w:val="0"/>
        <w:widowControl/>
        <w:kinsoku/>
        <w:wordWrap/>
        <w:overflowPunct/>
        <w:topLinePunct w:val="0"/>
        <w:autoSpaceDE/>
        <w:autoSpaceDN/>
        <w:bidi w:val="0"/>
        <w:adjustRightInd/>
        <w:snapToGrid/>
        <w:spacing w:line="360" w:lineRule="auto"/>
        <w:ind w:left="0" w:leftChars="0" w:right="0" w:firstLine="482" w:firstLineChars="200"/>
        <w:jc w:val="left"/>
        <w:textAlignment w:val="auto"/>
        <w:outlineLvl w:val="1"/>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eastAsia="zh-CN"/>
        </w:rPr>
        <w:t>三</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其他要求</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jc w:val="left"/>
        <w:textAlignment w:val="auto"/>
        <w:outlineLvl w:val="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、成交供应商</w:t>
      </w:r>
      <w:r>
        <w:rPr>
          <w:rFonts w:hint="eastAsia" w:ascii="宋体" w:hAnsi="宋体" w:eastAsia="宋体" w:cs="宋体"/>
          <w:b w:val="0"/>
          <w:bCs w:val="0"/>
          <w:sz w:val="24"/>
          <w:szCs w:val="24"/>
          <w:highlight w:val="none"/>
          <w:lang w:val="en-US" w:eastAsia="zh-CN"/>
        </w:rPr>
        <w:t>承担驻场人员办公设施、设备、生活、住宿、交通、通讯、人身意外保险等有关费用。当驻场人员能力或数量不能满足工程需要时必须按采购人要求增派或调整，增派人员的费用包含在投标报价中，不另行支付。</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jc w:val="left"/>
        <w:textAlignment w:val="auto"/>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成交供应商在项目实施过程中应充分听取采购人意见，充分发挥专业水平保证项目质量。若出现不能履行采购要求或消极怠工等影响项目进度和服务质量的行为，采购人有权终止合同，不予支付合同价款，同时中标单位将承担对其不利的法律后果。</w:t>
      </w:r>
      <w:r>
        <w:rPr>
          <w:rFonts w:hint="eastAsia" w:ascii="宋体" w:hAnsi="宋体" w:eastAsia="宋体" w:cs="宋体"/>
          <w:b w:val="0"/>
          <w:bCs w:val="0"/>
          <w:sz w:val="24"/>
          <w:szCs w:val="24"/>
          <w:highlight w:val="none"/>
          <w:lang w:eastAsia="zh-CN"/>
        </w:rPr>
        <w:t>中标单位</w:t>
      </w:r>
      <w:r>
        <w:rPr>
          <w:rFonts w:hint="eastAsia" w:ascii="宋体" w:hAnsi="宋体" w:eastAsia="宋体" w:cs="宋体"/>
          <w:b w:val="0"/>
          <w:bCs w:val="0"/>
          <w:sz w:val="24"/>
          <w:szCs w:val="24"/>
          <w:highlight w:val="none"/>
        </w:rPr>
        <w:t>不得以任何原因推卸</w:t>
      </w:r>
      <w:r>
        <w:rPr>
          <w:rFonts w:hint="eastAsia" w:ascii="宋体" w:hAnsi="宋体" w:eastAsia="宋体" w:cs="宋体"/>
          <w:b w:val="0"/>
          <w:bCs w:val="0"/>
          <w:sz w:val="24"/>
          <w:szCs w:val="24"/>
          <w:highlight w:val="none"/>
          <w:lang w:val="en-US" w:eastAsia="zh-CN"/>
        </w:rPr>
        <w:t>中标人</w:t>
      </w:r>
      <w:r>
        <w:rPr>
          <w:rFonts w:hint="eastAsia" w:ascii="宋体" w:hAnsi="宋体" w:eastAsia="宋体" w:cs="宋体"/>
          <w:b w:val="0"/>
          <w:bCs w:val="0"/>
          <w:sz w:val="24"/>
          <w:szCs w:val="24"/>
          <w:highlight w:val="none"/>
        </w:rPr>
        <w:t>该承担的责任。</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jc w:val="left"/>
        <w:textAlignment w:val="auto"/>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、成交供应商，不得以任何理由和任何方式将项目转包给第三方，否则采购人有权终止双方的合作，并依照法律追究中标供应商的法律责任和经济责任。</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jc w:val="left"/>
        <w:textAlignment w:val="auto"/>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、在本项目实施过程中或项目验收时，如采购人发现中标供应商提供的服务不符合本项目招标文件要求及其</w:t>
      </w:r>
      <w:r>
        <w:rPr>
          <w:rFonts w:hint="eastAsia" w:ascii="宋体" w:hAnsi="宋体" w:eastAsia="宋体" w:cs="宋体"/>
          <w:b w:val="0"/>
          <w:bCs w:val="0"/>
          <w:sz w:val="24"/>
          <w:szCs w:val="24"/>
          <w:highlight w:val="none"/>
          <w:lang w:eastAsia="zh-CN"/>
        </w:rPr>
        <w:t>响应文件</w:t>
      </w:r>
      <w:r>
        <w:rPr>
          <w:rFonts w:hint="eastAsia" w:ascii="宋体" w:hAnsi="宋体" w:eastAsia="宋体" w:cs="宋体"/>
          <w:b w:val="0"/>
          <w:bCs w:val="0"/>
          <w:sz w:val="24"/>
          <w:szCs w:val="24"/>
          <w:highlight w:val="none"/>
        </w:rPr>
        <w:t>承诺的，采购人将取消其中标资格、终止或解除与其签订的政府采购合同，并报财政部门，将其列入不良记录，禁止其在1-3年内参加政府采购活动，已提供服务的所有费用均不予支付；采购人有权按照评标报告推荐的中标候选供应商顺序推荐下一中标候选人为中标供应商，也可以按照政府采购法及其相关规定重新开展采购活动。</w:t>
      </w:r>
    </w:p>
    <w:p>
      <w:pPr>
        <w:ind w:firstLine="562"/>
        <w:jc w:val="center"/>
        <w:rPr>
          <w:rFonts w:eastAsia="黑体"/>
          <w:b/>
          <w:szCs w:val="28"/>
          <w:highlight w:val="none"/>
        </w:rPr>
      </w:pPr>
    </w:p>
    <w:p>
      <w:pPr>
        <w:pStyle w:val="8"/>
        <w:spacing w:line="380" w:lineRule="exact"/>
        <w:rPr>
          <w:rFonts w:ascii="宋体" w:hAnsi="宋体" w:eastAsia="宋体" w:cs="宋体"/>
          <w:b/>
          <w:bCs/>
          <w:sz w:val="24"/>
          <w:szCs w:val="24"/>
          <w:highlight w:val="none"/>
        </w:rPr>
      </w:pPr>
      <w:r>
        <w:rPr>
          <w:rFonts w:ascii="宋体" w:hAnsi="宋体" w:eastAsia="宋体" w:cs="宋体"/>
          <w:b/>
          <w:bCs/>
          <w:sz w:val="24"/>
          <w:szCs w:val="24"/>
          <w:highlight w:val="none"/>
        </w:rPr>
        <w:t>供应商参加采购活动应当具备的条件：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40" w:lineRule="exact"/>
        <w:ind w:right="0" w:rightChars="0"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1、满足《中华人民共和国政府采购法》第二十二条规定。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40" w:lineRule="exact"/>
        <w:ind w:right="0" w:rightChars="0"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2、本项目特殊资格要求：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jc w:val="both"/>
        <w:textAlignment w:val="auto"/>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1）供应商须具有行政主管部门颁发的工程勘察专业（岩土工程）乙级及以上资质和行政主管部门颁发的测绘资质证书乙级及以上资质（专业类别须包含工程测量），并在人员、设备、资金等方面具有相应的服务能力。</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（2）拟派项目负责人须具测绘相关</w:t>
      </w:r>
      <w:r>
        <w:rPr>
          <w:rFonts w:hint="eastAsia" w:ascii="宋体" w:hAnsi="宋体" w:eastAsia="宋体" w:cs="宋体"/>
          <w:i w:val="0"/>
          <w:iCs w:val="0"/>
          <w:caps w:val="0"/>
          <w:color w:val="000000"/>
          <w:spacing w:val="0"/>
          <w:sz w:val="24"/>
          <w:szCs w:val="24"/>
          <w:highlight w:val="none"/>
          <w:shd w:val="clear" w:color="auto" w:fill="FFFFFF"/>
        </w:rPr>
        <w:t>执业</w:t>
      </w:r>
      <w:r>
        <w:rPr>
          <w:rFonts w:hint="eastAsia" w:ascii="宋体" w:hAnsi="宋体" w:eastAsia="宋体" w:cs="宋体"/>
          <w:color w:val="auto"/>
          <w:sz w:val="24"/>
          <w:szCs w:val="24"/>
          <w:highlight w:val="none"/>
          <w:lang w:val="en-US" w:eastAsia="zh-CN"/>
        </w:rPr>
        <w:t>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40" w:lineRule="exact"/>
        <w:ind w:right="0" w:righ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（3）单位负责人为同一人或者存在直接控股、管理关系的不同供应商，不得同时参加本项目采购活动。</w:t>
      </w:r>
    </w:p>
    <w:p>
      <w:p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（4）根据《关于在政府采购活动中查询及使用信用记录有关问题的通知》(财库 [2016]125 号)的规定，对列入失信行为记录名单的供应商，拒绝参与本项目政府采购活动；【查询渠道：“信用中国”网站、中国政府采购网等】，信用信息查询的时间期限为参加政府采购活动近三年内。</w:t>
      </w:r>
    </w:p>
    <w:p>
      <w:pPr>
        <w:ind w:firstLine="480" w:firstLineChars="200"/>
        <w:rPr>
          <w:rFonts w:hint="eastAsia" w:ascii="宋体" w:hAnsi="宋体" w:eastAsia="宋体" w:cs="宋体"/>
          <w:sz w:val="24"/>
          <w:szCs w:val="24"/>
          <w:highlight w:val="none"/>
          <w:lang w:val="en-US" w:eastAsia="zh-CN"/>
        </w:rPr>
      </w:pPr>
    </w:p>
    <w:p>
      <w:pPr>
        <w:pStyle w:val="9"/>
        <w:spacing w:before="132"/>
        <w:ind w:left="107" w:firstLine="241" w:firstLineChars="100"/>
        <w:rPr>
          <w:b/>
          <w:bCs/>
          <w:color w:val="auto"/>
          <w:sz w:val="24"/>
          <w:highlight w:val="none"/>
        </w:rPr>
      </w:pPr>
      <w:r>
        <w:rPr>
          <w:b/>
          <w:bCs/>
          <w:color w:val="auto"/>
          <w:sz w:val="24"/>
          <w:highlight w:val="none"/>
        </w:rPr>
        <w:t>供应商信用记录的查询及使用: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40" w:lineRule="exact"/>
        <w:ind w:right="0" w:rightChars="0"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信用记录查询渠道</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采购人及采购代理机构将通过信用中国(www.creditchina.gov.cn)、中国政府采购网(www.ccgp.gov.cn)等相关媒体网站进行查询。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40" w:lineRule="exact"/>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信用记录的查询使用：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40" w:lineRule="exact"/>
        <w:ind w:firstLine="240" w:firstLineChars="1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 在提交响应文件截止时间前，采购人及采购代理机构将通过“信用中国”网站(www.creditchina.gov.cn)、中国政府采购网(www.ccgp.gov.cn)等相关媒体网站进行查询,并根据查询结果，对列入失信被执行人、</w:t>
      </w:r>
      <w:r>
        <w:rPr>
          <w:rFonts w:hint="eastAsia" w:ascii="宋体" w:hAnsi="宋体" w:cs="宋体"/>
          <w:sz w:val="24"/>
          <w:szCs w:val="24"/>
          <w:highlight w:val="none"/>
          <w:lang w:val="en-US" w:eastAsia="zh-CN"/>
        </w:rPr>
        <w:t>重大税收违法失信主体</w:t>
      </w:r>
      <w:r>
        <w:rPr>
          <w:rFonts w:hint="eastAsia" w:ascii="宋体" w:hAnsi="宋体" w:eastAsia="宋体" w:cs="宋体"/>
          <w:sz w:val="24"/>
          <w:szCs w:val="24"/>
          <w:highlight w:val="none"/>
          <w:lang w:val="en-US" w:eastAsia="zh-CN"/>
        </w:rPr>
        <w:t>、政府采购严重违法失信行为记录名单及其他不符合《中华人民共和国政府采购法》第二十二条规定条件的供应商，将拒绝其参与政府采购活动。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40" w:lineRule="exact"/>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 在提交响应文件截止时间后，采购合同签订前，采购人及采购代理机构将通过“信用中国”网站(www.creditchina.gov.cn)、中国政府采购</w:t>
      </w:r>
      <w:r>
        <w:rPr>
          <w:rFonts w:hint="eastAsia" w:ascii="宋体" w:hAnsi="宋体" w:cs="宋体"/>
          <w:sz w:val="24"/>
          <w:szCs w:val="24"/>
          <w:highlight w:val="none"/>
          <w:lang w:val="en-US" w:eastAsia="zh-CN"/>
        </w:rPr>
        <w:t>网</w:t>
      </w:r>
      <w:r>
        <w:rPr>
          <w:rFonts w:hint="eastAsia" w:ascii="宋体" w:hAnsi="宋体" w:eastAsia="宋体" w:cs="宋体"/>
          <w:sz w:val="24"/>
          <w:szCs w:val="24"/>
          <w:highlight w:val="none"/>
          <w:lang w:val="en-US" w:eastAsia="zh-CN"/>
        </w:rPr>
        <w:t>(www.ccgp.gov.cn) 等相关媒体网站进行查询,并根据查询结果，对列入失信被执行人、</w:t>
      </w:r>
      <w:r>
        <w:rPr>
          <w:rFonts w:hint="eastAsia" w:ascii="宋体" w:hAnsi="宋体" w:cs="宋体"/>
          <w:sz w:val="24"/>
          <w:szCs w:val="24"/>
          <w:highlight w:val="none"/>
          <w:lang w:val="en-US" w:eastAsia="zh-CN"/>
        </w:rPr>
        <w:t>重大税收违法失信主体</w:t>
      </w:r>
      <w:r>
        <w:rPr>
          <w:rFonts w:hint="eastAsia" w:ascii="宋体" w:hAnsi="宋体" w:eastAsia="宋体" w:cs="宋体"/>
          <w:sz w:val="24"/>
          <w:szCs w:val="24"/>
          <w:highlight w:val="none"/>
          <w:lang w:val="en-US" w:eastAsia="zh-CN"/>
        </w:rPr>
        <w:t>、政府采购严重违法失信行为记录名单及其他不符合《中华人民共和国政府采购法》相关规定的供应商，采购人或采购代理机构将报财政主管部门批准后，取消成交供应商的成交资格,该供应商还应当承担相应的法律责任；采购人可以按照评审报告推荐的成交候选人名单排序，确定下一候选人为成交供应商，也可以重新开展采购活动。</w:t>
      </w:r>
    </w:p>
    <w:p>
      <w:pPr>
        <w:ind w:firstLine="480" w:firstLineChars="200"/>
        <w:rPr>
          <w:rFonts w:hint="eastAsia"/>
          <w:sz w:val="32"/>
          <w:szCs w:val="32"/>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如供应商有上述情形已被撤销的，应在</w:t>
      </w:r>
      <w:r>
        <w:rPr>
          <w:rFonts w:hint="eastAsia" w:ascii="宋体" w:hAnsi="宋体" w:cs="宋体"/>
          <w:sz w:val="24"/>
          <w:szCs w:val="24"/>
          <w:highlight w:val="none"/>
          <w:lang w:val="en-US" w:eastAsia="zh-CN"/>
        </w:rPr>
        <w:t>询比</w:t>
      </w:r>
      <w:r>
        <w:rPr>
          <w:rFonts w:hint="eastAsia" w:ascii="宋体" w:hAnsi="宋体" w:eastAsia="宋体" w:cs="宋体"/>
          <w:sz w:val="24"/>
          <w:szCs w:val="24"/>
          <w:highlight w:val="none"/>
          <w:lang w:val="en-US" w:eastAsia="zh-CN"/>
        </w:rPr>
        <w:t>响应文件中提供相应撤销处罚的证明材料（资格审查时提供原件）；否则，视为因存在上述情形被禁止参加采购活动</w:t>
      </w:r>
    </w:p>
    <w:p>
      <w:pP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NDExMTkxM2Q1MjA3YmNmMTgxOWQ2ZDlkY2QxNWUifQ=="/>
  </w:docVars>
  <w:rsids>
    <w:rsidRoot w:val="095F60D3"/>
    <w:rsid w:val="02F36056"/>
    <w:rsid w:val="095F60D3"/>
    <w:rsid w:val="78EB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widowControl/>
      <w:spacing w:after="120" w:line="480" w:lineRule="auto"/>
      <w:ind w:left="420" w:leftChars="200" w:firstLine="360" w:firstLineChars="0"/>
    </w:pPr>
    <w:rPr>
      <w:rFonts w:ascii="Calibri" w:hAnsi="Calibri" w:eastAsia="宋体"/>
      <w:color w:val="000000"/>
      <w:kern w:val="0"/>
      <w:sz w:val="21"/>
      <w:szCs w:val="20"/>
      <w:u w:val="none" w:color="000000"/>
    </w:rPr>
  </w:style>
  <w:style w:type="paragraph" w:styleId="3">
    <w:name w:val="footnote text"/>
    <w:basedOn w:val="1"/>
    <w:autoRedefine/>
    <w:unhideWhenUsed/>
    <w:qFormat/>
    <w:uiPriority w:val="99"/>
    <w:pPr>
      <w:snapToGrid w:val="0"/>
    </w:pPr>
    <w:rPr>
      <w:sz w:val="18"/>
      <w:szCs w:val="18"/>
    </w:rPr>
  </w:style>
  <w:style w:type="paragraph" w:customStyle="1" w:styleId="6">
    <w:name w:val="正文首行缩进 21"/>
    <w:basedOn w:val="7"/>
    <w:autoRedefine/>
    <w:qFormat/>
    <w:uiPriority w:val="0"/>
    <w:pPr>
      <w:tabs>
        <w:tab w:val="left" w:pos="945"/>
        <w:tab w:val="left" w:pos="1155"/>
      </w:tabs>
      <w:ind w:firstLine="420" w:firstLineChars="200"/>
    </w:pPr>
  </w:style>
  <w:style w:type="paragraph" w:customStyle="1" w:styleId="7">
    <w:name w:val="正文文本缩进1"/>
    <w:basedOn w:val="1"/>
    <w:autoRedefine/>
    <w:qFormat/>
    <w:uiPriority w:val="0"/>
    <w:pPr>
      <w:spacing w:after="120"/>
      <w:ind w:left="420" w:leftChars="200"/>
    </w:pPr>
  </w:style>
  <w:style w:type="paragraph" w:customStyle="1" w:styleId="8">
    <w:name w:val="Default"/>
    <w:next w:val="3"/>
    <w:autoRedefine/>
    <w:qFormat/>
    <w:uiPriority w:val="0"/>
    <w:pPr>
      <w:widowControl w:val="0"/>
      <w:autoSpaceDE w:val="0"/>
      <w:autoSpaceDN w:val="0"/>
      <w:adjustRightInd w:val="0"/>
      <w:jc w:val="both"/>
    </w:pPr>
    <w:rPr>
      <w:rFonts w:ascii="宋体" w:hAnsi="Times New Roman" w:eastAsia="宋体" w:cs="宋体"/>
      <w:color w:val="000000"/>
      <w:sz w:val="24"/>
      <w:szCs w:val="24"/>
      <w:lang w:val="en-US" w:eastAsia="zh-CN" w:bidi="ar-SA"/>
    </w:rPr>
  </w:style>
  <w:style w:type="paragraph" w:customStyle="1" w:styleId="9">
    <w:name w:val="Table Paragraph"/>
    <w:basedOn w:val="1"/>
    <w:autoRedefine/>
    <w:qFormat/>
    <w:uiPriority w:val="1"/>
    <w:pPr>
      <w:spacing w:line="240" w:lineRule="auto"/>
      <w:ind w:firstLine="0" w:firstLineChars="0"/>
      <w:jc w:val="both"/>
    </w:pPr>
    <w:rPr>
      <w:rFonts w:ascii="宋体" w:hAnsi="宋体" w:eastAsia="宋体" w:cs="宋体"/>
      <w:sz w:val="21"/>
      <w:szCs w:val="24"/>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2024-03-15T02:20:00Z</dcterms:created>
  <dc:creator>Admin</dc:creator>
  <cp:lastModifiedBy>二水、</cp:lastModifiedBy>
  <dcterms:modified xsi:type="dcterms:W3CDTF">2024-03-15T02:52:06Z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8764B0D2192D49E790B48971EDA1CA10_13</vt:lpwstr>
  </property>
</Properties>
</file>